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68"/>
        </w:rPr>
        <w:t>QUICKTRACK</w:t>
      </w:r>
    </w:p>
    <w:p>
      <w:pPr>
        <w:jc w:val="center"/>
      </w:pPr>
      <w:r>
        <w:rPr>
          <w:b/>
          <w:sz w:val="42"/>
        </w:rPr>
        <w:t>Accessibility-Focused User Guide</w:t>
      </w:r>
    </w:p>
    <w:p>
      <w:pPr>
        <w:jc w:val="center"/>
      </w:pPr>
      <w:r>
        <w:rPr>
          <w:i/>
        </w:rPr>
        <w:t>Keyboard Navigation, Accessible Content &amp; Inclusive Documentation</w:t>
        <w:br/>
      </w:r>
      <w:r>
        <w:t>Technical writing portfolio sample • Prepared by Mark Ball</w:t>
      </w:r>
    </w:p>
    <w:p/>
    <w:tbl>
      <w:tblPr>
        <w:tblStyle w:val="TableGrid"/>
        <w:tblW w:type="auto" w:w="0"/>
        <w:jc w:val="center"/>
        <w:tblLook w:firstColumn="1" w:firstRow="1" w:lastColumn="0" w:lastRow="0" w:noHBand="0" w:noVBand="1" w:val="04A0"/>
      </w:tblPr>
      <w:tblGrid>
        <w:gridCol w:w="4968"/>
        <w:gridCol w:w="4968"/>
      </w:tblGrid>
      <w:tr>
        <w:tc>
          <w:tcPr>
            <w:tcW w:type="dxa" w:w="4968"/>
            <w:shd w:fill="EDEDED"/>
          </w:tcPr>
          <w:p>
            <w:r>
              <w:rPr>
                <w:b/>
              </w:rPr>
              <w:t>Product</w:t>
            </w:r>
          </w:p>
        </w:tc>
        <w:tc>
          <w:tcPr>
            <w:tcW w:type="dxa" w:w="4968"/>
          </w:tcPr>
          <w:p>
            <w:r>
              <w:t>QuickTrack — fictional cloud-based project management software</w:t>
            </w:r>
          </w:p>
        </w:tc>
      </w:tr>
      <w:tr>
        <w:tc>
          <w:tcPr>
            <w:tcW w:type="dxa" w:w="4968"/>
            <w:shd w:fill="EDEDED"/>
          </w:tcPr>
          <w:p>
            <w:r>
              <w:rPr>
                <w:b/>
              </w:rPr>
              <w:t>Audience</w:t>
            </w:r>
          </w:p>
        </w:tc>
        <w:tc>
          <w:tcPr>
            <w:tcW w:type="dxa" w:w="4968"/>
          </w:tcPr>
          <w:p>
            <w:r>
              <w:t>Users who navigate with a keyboard, screen reader, magnification, or other assistive technology</w:t>
            </w:r>
          </w:p>
        </w:tc>
      </w:tr>
      <w:tr>
        <w:tc>
          <w:tcPr>
            <w:tcW w:type="dxa" w:w="4968"/>
            <w:shd w:fill="EDEDED"/>
          </w:tcPr>
          <w:p>
            <w:r>
              <w:rPr>
                <w:b/>
              </w:rPr>
              <w:t>Purpose</w:t>
            </w:r>
          </w:p>
        </w:tc>
        <w:tc>
          <w:tcPr>
            <w:tcW w:type="dxa" w:w="4968"/>
          </w:tcPr>
          <w:p>
            <w:r>
              <w:t>Complete common QuickTrack tasks using accessible interaction and content patterns</w:t>
            </w:r>
          </w:p>
        </w:tc>
      </w:tr>
      <w:tr>
        <w:tc>
          <w:tcPr>
            <w:tcW w:type="dxa" w:w="4968"/>
            <w:shd w:fill="EDEDED"/>
          </w:tcPr>
          <w:p>
            <w:r>
              <w:rPr>
                <w:b/>
              </w:rPr>
              <w:t>Reference framework</w:t>
            </w:r>
          </w:p>
        </w:tc>
        <w:tc>
          <w:tcPr>
            <w:tcW w:type="dxa" w:w="4968"/>
          </w:tcPr>
          <w:p>
            <w:r>
              <w:t>WCAG 2.2 concepts relevant to keyboard access, text alternatives, headings, labels, focus, and error identification</w:t>
            </w:r>
          </w:p>
        </w:tc>
      </w:tr>
    </w:tbl>
    <w:p>
      <w:r>
        <w:br w:type="page"/>
      </w:r>
    </w:p>
    <w:p>
      <w:pPr>
        <w:pStyle w:val="Heading1"/>
      </w:pPr>
      <w:r>
        <w:t>1. Purpose and Scope</w:t>
      </w:r>
    </w:p>
    <w:p>
      <w:r>
        <w:t>This guide demonstrates how QuickTrack users can complete common tasks while relying on accessible interaction patterns. It also demonstrates documentation practices intended to make instructions easier to navigate, understand, and use.</w:t>
      </w:r>
    </w:p>
    <w:p>
      <w:r>
        <w:t>The accessibility guidance in this sample is informed by WCAG 2.2, the current W3C Recommendation. WCAG addresses accessibility across devices and includes requirements related to text alternatives, keyboard operation, headings and labels, visible focus, readable content, and input assistance.</w:t>
      </w:r>
    </w:p>
    <w:p>
      <w:pPr>
        <w:pStyle w:val="Heading1"/>
      </w:pPr>
      <w:r>
        <w:t>2. Accessibility Principles Used in This Guide</w:t>
      </w:r>
    </w:p>
    <w:p>
      <w:r>
        <w:rPr>
          <w:b/>
        </w:rPr>
        <w:t xml:space="preserve">Keyboard access: </w:t>
      </w:r>
      <w:r>
        <w:t>All essential functions should be operable through a keyboard interface. Users should be able to move focus away from every component without becoming trapped.</w:t>
      </w:r>
    </w:p>
    <w:p>
      <w:r>
        <w:rPr>
          <w:b/>
        </w:rPr>
        <w:t xml:space="preserve">Meaningful structure: </w:t>
      </w:r>
      <w:r>
        <w:t>Headings and labels should describe topic or purpose so users can understand and navigate content.</w:t>
      </w:r>
    </w:p>
    <w:p>
      <w:r>
        <w:rPr>
          <w:b/>
        </w:rPr>
        <w:t xml:space="preserve">Visible focus: </w:t>
      </w:r>
      <w:r>
        <w:t>Keyboard users need a visible indication of which interface element currently has focus.</w:t>
      </w:r>
    </w:p>
    <w:p>
      <w:r>
        <w:rPr>
          <w:b/>
        </w:rPr>
        <w:t xml:space="preserve">Text alternatives: </w:t>
      </w:r>
      <w:r>
        <w:t>Non-text content should have a text alternative when an equivalent purpose can be provided.</w:t>
      </w:r>
    </w:p>
    <w:p>
      <w:r>
        <w:rPr>
          <w:b/>
        </w:rPr>
        <w:t xml:space="preserve">Clear instructions: </w:t>
      </w:r>
      <w:r>
        <w:t>Instructions should not depend only on color, shape, position, or other sensory characteristics.</w:t>
      </w:r>
    </w:p>
    <w:p>
      <w:r>
        <w:rPr>
          <w:b/>
        </w:rPr>
        <w:t xml:space="preserve">Error assistance: </w:t>
      </w:r>
      <w:r>
        <w:t>When an input error is detected, the user should be told what went wrong in text and, when possible, how to correct it.</w:t>
      </w:r>
    </w:p>
    <w:p>
      <w:pPr>
        <w:pStyle w:val="Heading1"/>
      </w:pPr>
      <w:r>
        <w:t>3. Keyboard Navigation</w:t>
      </w:r>
    </w:p>
    <w:p>
      <w:r>
        <w:t>QuickTrack supports keyboard-based navigation for common workspace and task-management actions.</w:t>
      </w:r>
    </w:p>
    <w:p>
      <w:pPr>
        <w:spacing w:before="140"/>
      </w:pPr>
      <w:r>
        <w:rPr>
          <w:b/>
          <w:sz w:val="22"/>
        </w:rPr>
        <w:t>1. Move through controls</w:t>
      </w:r>
      <w:r>
        <w:br/>
        <w:t>Press Tab to move forward through interactive controls. Use Shift+Tab to move backward.</w:t>
      </w:r>
    </w:p>
    <w:p>
      <w:pPr>
        <w:spacing w:before="140"/>
      </w:pPr>
      <w:r>
        <w:rPr>
          <w:b/>
          <w:sz w:val="22"/>
        </w:rPr>
        <w:t>2. Activate a control</w:t>
      </w:r>
      <w:r>
        <w:br/>
        <w:t>Press Enter or Space when the focused control supports that key.</w:t>
      </w:r>
    </w:p>
    <w:p>
      <w:pPr>
        <w:spacing w:before="140"/>
      </w:pPr>
      <w:r>
        <w:rPr>
          <w:b/>
          <w:sz w:val="22"/>
        </w:rPr>
        <w:t>3. Move within menus</w:t>
      </w:r>
      <w:r>
        <w:br/>
        <w:t>Use the arrow keys when a QuickTrack menu presents keyboard-navigable menu items.</w:t>
      </w:r>
    </w:p>
    <w:p>
      <w:pPr>
        <w:spacing w:before="140"/>
      </w:pPr>
      <w:r>
        <w:rPr>
          <w:b/>
          <w:sz w:val="22"/>
        </w:rPr>
        <w:t>4. Return to the page</w:t>
      </w:r>
      <w:r>
        <w:br/>
        <w:t>After closing a dialog or menu, confirm that focus returns to a logical location in the page.</w:t>
      </w:r>
    </w:p>
    <w:p>
      <w:pPr>
        <w:pStyle w:val="Heading2"/>
      </w:pPr>
      <w:r>
        <w:t>Keyboard documentation standard</w:t>
      </w:r>
    </w:p>
    <w:p>
      <w:r>
        <w:t>Documentation should name the key and the result together. For example, write “Press Tab to move to the next control” rather than “Use the keyboard to continue.”</w:t>
      </w:r>
    </w:p>
    <w:p>
      <w:pPr>
        <w:pStyle w:val="Heading1"/>
      </w:pPr>
      <w:r>
        <w:t>4. Create a Task Without a Mouse</w:t>
      </w:r>
    </w:p>
    <w:p>
      <w:pPr>
        <w:spacing w:before="140"/>
      </w:pPr>
      <w:r>
        <w:rPr>
          <w:b/>
          <w:sz w:val="22"/>
        </w:rPr>
        <w:t>1. Open Tasks</w:t>
      </w:r>
      <w:r>
        <w:br/>
        <w:t>From the workspace dashboard, press Tab until the Tasks navigation control receives focus, then press Enter.</w:t>
      </w:r>
    </w:p>
    <w:p>
      <w:pPr>
        <w:spacing w:before="140"/>
      </w:pPr>
      <w:r>
        <w:rPr>
          <w:b/>
          <w:sz w:val="22"/>
        </w:rPr>
        <w:t>2. Choose New Task</w:t>
      </w:r>
      <w:r>
        <w:br/>
        <w:t>Move focus to New Task and press Enter.</w:t>
      </w:r>
    </w:p>
    <w:p>
      <w:pPr>
        <w:spacing w:before="140"/>
      </w:pPr>
      <w:r>
        <w:rPr>
          <w:b/>
          <w:sz w:val="22"/>
        </w:rPr>
        <w:t>3. Complete the title field</w:t>
      </w:r>
      <w:r>
        <w:br/>
        <w:t>Type a short, descriptive task title.</w:t>
      </w:r>
    </w:p>
    <w:p>
      <w:pPr>
        <w:spacing w:before="140"/>
      </w:pPr>
      <w:r>
        <w:rPr>
          <w:b/>
          <w:sz w:val="22"/>
        </w:rPr>
        <w:t>4. Complete the description</w:t>
      </w:r>
      <w:r>
        <w:br/>
        <w:t>Move to Description and enter the information another person needs to complete the task.</w:t>
      </w:r>
    </w:p>
    <w:p>
      <w:pPr>
        <w:spacing w:before="140"/>
      </w:pPr>
      <w:r>
        <w:rPr>
          <w:b/>
          <w:sz w:val="22"/>
        </w:rPr>
        <w:t>5. Set priority</w:t>
      </w:r>
      <w:r>
        <w:br/>
        <w:t>Move to Priority and select the appropriate value.</w:t>
      </w:r>
    </w:p>
    <w:p>
      <w:pPr>
        <w:spacing w:before="140"/>
      </w:pPr>
      <w:r>
        <w:rPr>
          <w:b/>
          <w:sz w:val="22"/>
        </w:rPr>
        <w:t>6. Set the due date</w:t>
      </w:r>
      <w:r>
        <w:br/>
        <w:t>Move to Due Date and enter or select the deadline.</w:t>
      </w:r>
    </w:p>
    <w:p>
      <w:pPr>
        <w:spacing w:before="140"/>
      </w:pPr>
      <w:r>
        <w:rPr>
          <w:b/>
          <w:sz w:val="22"/>
        </w:rPr>
        <w:t>7. Assign the task</w:t>
      </w:r>
      <w:r>
        <w:br/>
        <w:t>Move to Assignee and select the responsible teammate.</w:t>
      </w:r>
    </w:p>
    <w:p>
      <w:pPr>
        <w:spacing w:before="140"/>
      </w:pPr>
      <w:r>
        <w:rPr>
          <w:b/>
          <w:sz w:val="22"/>
        </w:rPr>
        <w:t>8. Create the task</w:t>
      </w:r>
      <w:r>
        <w:br/>
        <w:t>Move to Create Task and press Enter. Confirm that a success message appears.</w:t>
      </w:r>
    </w:p>
    <w:p>
      <w:r>
        <w:t>If focus disappears, appears to stop moving, or becomes trapped inside a control, stop the task and report the behavior to the product support team.</w:t>
      </w:r>
    </w:p>
    <w:p>
      <w:pPr>
        <w:pStyle w:val="Heading1"/>
      </w:pPr>
      <w:r>
        <w:t>5. Writing Accessible Task Content</w:t>
      </w:r>
    </w:p>
    <w:p>
      <w:pPr>
        <w:pStyle w:val="ListBullet"/>
      </w:pPr>
      <w:r>
        <w:t>Use descriptive headings and labels.</w:t>
      </w:r>
    </w:p>
    <w:p>
      <w:pPr>
        <w:pStyle w:val="ListBullet"/>
      </w:pPr>
      <w:r>
        <w:t>Keep instructions concise and place the required action near the beginning of each step.</w:t>
      </w:r>
    </w:p>
    <w:p>
      <w:pPr>
        <w:pStyle w:val="ListBullet"/>
      </w:pPr>
      <w:r>
        <w:t>Do not identify an action only by color, such as “select the red button.”</w:t>
      </w:r>
    </w:p>
    <w:p>
      <w:pPr>
        <w:pStyle w:val="ListBullet"/>
      </w:pPr>
      <w:r>
        <w:t>Use link text that describes the destination or purpose.</w:t>
      </w:r>
    </w:p>
    <w:p>
      <w:pPr>
        <w:pStyle w:val="ListBullet"/>
      </w:pPr>
      <w:r>
        <w:t>Define unfamiliar terms when they are necessary.</w:t>
      </w:r>
    </w:p>
    <w:p>
      <w:pPr>
        <w:pStyle w:val="ListBullet"/>
      </w:pPr>
      <w:r>
        <w:t>Use lists for multiple requirements instead of placing several actions in one long paragraph.</w:t>
      </w:r>
    </w:p>
    <w:p>
      <w:pPr>
        <w:pStyle w:val="Heading1"/>
      </w:pPr>
      <w:r>
        <w:t>6. Images and Alternative Text</w:t>
      </w:r>
    </w:p>
    <w:p>
      <w:r>
        <w:t>When an image communicates information needed to complete a task, provide a concise text alternative that communicates the same useful information. Decorative images generally should not receive redundant descriptions.</w:t>
      </w:r>
    </w:p>
    <w:tbl>
      <w:tblPr>
        <w:tblStyle w:val="TableGrid"/>
        <w:tblW w:type="auto" w:w="0"/>
        <w:jc w:val="center"/>
        <w:tblLook w:firstColumn="1" w:firstRow="1" w:lastColumn="0" w:lastRow="0" w:noHBand="0" w:noVBand="1" w:val="04A0"/>
      </w:tblPr>
      <w:tblGrid>
        <w:gridCol w:w="4968"/>
        <w:gridCol w:w="4968"/>
      </w:tblGrid>
      <w:tr>
        <w:tc>
          <w:tcPr>
            <w:tcW w:type="dxa" w:w="4968"/>
            <w:shd w:fill="EDEDED"/>
          </w:tcPr>
          <w:p>
            <w:r>
              <w:rPr>
                <w:b/>
              </w:rPr>
              <w:t>Image purpose</w:t>
            </w:r>
          </w:p>
        </w:tc>
        <w:tc>
          <w:tcPr>
            <w:tcW w:type="dxa" w:w="4968"/>
            <w:shd w:fill="EDEDED"/>
          </w:tcPr>
          <w:p>
            <w:r>
              <w:rPr>
                <w:b/>
              </w:rPr>
              <w:t>Example alternative text</w:t>
            </w:r>
          </w:p>
        </w:tc>
      </w:tr>
      <w:tr>
        <w:tc>
          <w:tcPr>
            <w:tcW w:type="dxa" w:w="4968"/>
          </w:tcPr>
          <w:p>
            <w:r>
              <w:t>Shows where to find the Tasks control</w:t>
            </w:r>
          </w:p>
        </w:tc>
        <w:tc>
          <w:tcPr>
            <w:tcW w:type="dxa" w:w="4968"/>
          </w:tcPr>
          <w:p>
            <w:r>
              <w:t>Screenshot of the QuickTrack dashboard with the Tasks control highlighted.</w:t>
            </w:r>
          </w:p>
        </w:tc>
      </w:tr>
      <w:tr>
        <w:tc>
          <w:tcPr>
            <w:tcW w:type="dxa" w:w="4968"/>
          </w:tcPr>
          <w:p>
            <w:r>
              <w:t>Shows a completed task</w:t>
            </w:r>
          </w:p>
        </w:tc>
        <w:tc>
          <w:tcPr>
            <w:tcW w:type="dxa" w:w="4968"/>
          </w:tcPr>
          <w:p>
            <w:r>
              <w:t>QuickTrack task showing Status set to Complete.</w:t>
            </w:r>
          </w:p>
        </w:tc>
      </w:tr>
      <w:tr>
        <w:tc>
          <w:tcPr>
            <w:tcW w:type="dxa" w:w="4968"/>
          </w:tcPr>
          <w:p>
            <w:r>
              <w:t>Decorative branding</w:t>
            </w:r>
          </w:p>
        </w:tc>
        <w:tc>
          <w:tcPr>
            <w:tcW w:type="dxa" w:w="4968"/>
          </w:tcPr>
          <w:p>
            <w:r>
              <w:t>No alternative text needed when the image adds no instructional information.</w:t>
            </w:r>
          </w:p>
        </w:tc>
      </w:tr>
    </w:tbl>
    <w:p>
      <w:pPr>
        <w:pStyle w:val="Heading1"/>
      </w:pPr>
      <w:r>
        <w:t>7. Forms, Labels, and Errors</w:t>
      </w:r>
    </w:p>
    <w:p>
      <w:r>
        <w:t>Every field in the task form should have a clear label. Instructions should appear before the user needs to make a decision, and errors should be identified in text.</w:t>
      </w:r>
    </w:p>
    <w:p>
      <w:pPr>
        <w:spacing w:before="140"/>
      </w:pPr>
      <w:r>
        <w:rPr>
          <w:b/>
          <w:sz w:val="22"/>
        </w:rPr>
        <w:t>1. Identify the field</w:t>
      </w:r>
      <w:r>
        <w:br/>
        <w:t>Use the field label to determine what information is required.</w:t>
      </w:r>
    </w:p>
    <w:p>
      <w:pPr>
        <w:spacing w:before="140"/>
      </w:pPr>
      <w:r>
        <w:rPr>
          <w:b/>
          <w:sz w:val="22"/>
        </w:rPr>
        <w:t>2. Enter the value</w:t>
      </w:r>
      <w:r>
        <w:br/>
        <w:t>Provide information in the format requested by the label or instruction.</w:t>
      </w:r>
    </w:p>
    <w:p>
      <w:pPr>
        <w:spacing w:before="140"/>
      </w:pPr>
      <w:r>
        <w:rPr>
          <w:b/>
          <w:sz w:val="22"/>
        </w:rPr>
        <w:t>3. Review errors</w:t>
      </w:r>
      <w:r>
        <w:br/>
        <w:t>If QuickTrack reports an error, read the message and return to the identified field.</w:t>
      </w:r>
    </w:p>
    <w:p>
      <w:pPr>
        <w:spacing w:before="140"/>
      </w:pPr>
      <w:r>
        <w:rPr>
          <w:b/>
          <w:sz w:val="22"/>
        </w:rPr>
        <w:t>4. Correct the input</w:t>
      </w:r>
      <w:r>
        <w:br/>
        <w:t>Follow the suggested correction when one is provided.</w:t>
      </w:r>
    </w:p>
    <w:p>
      <w:pPr>
        <w:spacing w:before="140"/>
      </w:pPr>
      <w:r>
        <w:rPr>
          <w:b/>
          <w:sz w:val="22"/>
        </w:rPr>
        <w:t>5. Submit again</w:t>
      </w:r>
      <w:r>
        <w:br/>
        <w:t>Resubmit the form after correcting the error.</w:t>
      </w:r>
    </w:p>
    <w:p>
      <w:pPr>
        <w:pStyle w:val="Heading2"/>
      </w:pPr>
      <w:r>
        <w:t>Example error message</w:t>
      </w:r>
    </w:p>
    <w:p>
      <w:r>
        <w:rPr>
          <w:b/>
        </w:rPr>
        <w:t>Due date: Enter a date on or after today.</w:t>
      </w:r>
    </w:p>
    <w:p>
      <w:r>
        <w:t>This example identifies the field and explains the required correction instead of relying on color or an icon alone.</w:t>
      </w:r>
    </w:p>
    <w:p>
      <w:pPr>
        <w:pStyle w:val="Heading1"/>
      </w:pPr>
      <w:r>
        <w:t>8. Accessible Tables and Lists</w:t>
      </w:r>
    </w:p>
    <w:p>
      <w:r>
        <w:t>Use tables when readers need to compare related values. Give each column a meaningful header and keep the structure simple. Use bullet or numbered lists when information is sequential or consists of separate items.</w:t>
      </w:r>
    </w:p>
    <w:tbl>
      <w:tblPr>
        <w:tblStyle w:val="TableGrid"/>
        <w:tblW w:type="auto" w:w="0"/>
        <w:jc w:val="center"/>
        <w:tblLook w:firstColumn="1" w:firstRow="1" w:lastColumn="0" w:lastRow="0" w:noHBand="0" w:noVBand="1" w:val="04A0"/>
      </w:tblPr>
      <w:tblGrid>
        <w:gridCol w:w="3312"/>
        <w:gridCol w:w="3312"/>
        <w:gridCol w:w="3312"/>
      </w:tblGrid>
      <w:tr>
        <w:tc>
          <w:tcPr>
            <w:tcW w:type="dxa" w:w="3312"/>
            <w:shd w:fill="EDEDED"/>
          </w:tcPr>
          <w:p>
            <w:r>
              <w:rPr>
                <w:b/>
              </w:rPr>
              <w:t>Task</w:t>
            </w:r>
          </w:p>
        </w:tc>
        <w:tc>
          <w:tcPr>
            <w:tcW w:type="dxa" w:w="3312"/>
            <w:shd w:fill="EDEDED"/>
          </w:tcPr>
          <w:p>
            <w:r>
              <w:rPr>
                <w:b/>
              </w:rPr>
              <w:t>Keyboard action</w:t>
            </w:r>
          </w:p>
        </w:tc>
        <w:tc>
          <w:tcPr>
            <w:tcW w:type="dxa" w:w="3312"/>
            <w:shd w:fill="EDEDED"/>
          </w:tcPr>
          <w:p>
            <w:r>
              <w:rPr>
                <w:b/>
              </w:rPr>
              <w:t>Expected result</w:t>
            </w:r>
          </w:p>
        </w:tc>
      </w:tr>
      <w:tr>
        <w:tc>
          <w:tcPr>
            <w:tcW w:type="dxa" w:w="3312"/>
          </w:tcPr>
          <w:p>
            <w:r>
              <w:t>Open Tasks</w:t>
            </w:r>
          </w:p>
        </w:tc>
        <w:tc>
          <w:tcPr>
            <w:tcW w:type="dxa" w:w="3312"/>
          </w:tcPr>
          <w:p>
            <w:r>
              <w:t>Tab to Tasks; Enter</w:t>
            </w:r>
          </w:p>
        </w:tc>
        <w:tc>
          <w:tcPr>
            <w:tcW w:type="dxa" w:w="3312"/>
          </w:tcPr>
          <w:p>
            <w:r>
              <w:t>Tasks page opens</w:t>
            </w:r>
          </w:p>
        </w:tc>
      </w:tr>
      <w:tr>
        <w:tc>
          <w:tcPr>
            <w:tcW w:type="dxa" w:w="3312"/>
          </w:tcPr>
          <w:p>
            <w:r>
              <w:t>Create task</w:t>
            </w:r>
          </w:p>
        </w:tc>
        <w:tc>
          <w:tcPr>
            <w:tcW w:type="dxa" w:w="3312"/>
          </w:tcPr>
          <w:p>
            <w:r>
              <w:t>Tab to New Task; Enter</w:t>
            </w:r>
          </w:p>
        </w:tc>
        <w:tc>
          <w:tcPr>
            <w:tcW w:type="dxa" w:w="3312"/>
          </w:tcPr>
          <w:p>
            <w:r>
              <w:t>Task form opens</w:t>
            </w:r>
          </w:p>
        </w:tc>
      </w:tr>
      <w:tr>
        <w:tc>
          <w:tcPr>
            <w:tcW w:type="dxa" w:w="3312"/>
          </w:tcPr>
          <w:p>
            <w:r>
              <w:t>Submit task</w:t>
            </w:r>
          </w:p>
        </w:tc>
        <w:tc>
          <w:tcPr>
            <w:tcW w:type="dxa" w:w="3312"/>
          </w:tcPr>
          <w:p>
            <w:r>
              <w:t>Tab to Create Task; Enter</w:t>
            </w:r>
          </w:p>
        </w:tc>
        <w:tc>
          <w:tcPr>
            <w:tcW w:type="dxa" w:w="3312"/>
          </w:tcPr>
          <w:p>
            <w:r>
              <w:t>Task is created and confirmation is announced</w:t>
            </w:r>
          </w:p>
        </w:tc>
      </w:tr>
    </w:tbl>
    <w:p>
      <w:pPr>
        <w:pStyle w:val="Heading1"/>
      </w:pPr>
      <w:r>
        <w:t>9. Accessibility Troubleshooting</w:t>
      </w:r>
    </w:p>
    <w:tbl>
      <w:tblPr>
        <w:tblStyle w:val="TableGrid"/>
        <w:tblW w:type="auto" w:w="0"/>
        <w:jc w:val="center"/>
        <w:tblLook w:firstColumn="1" w:firstRow="1" w:lastColumn="0" w:lastRow="0" w:noHBand="0" w:noVBand="1" w:val="04A0"/>
      </w:tblPr>
      <w:tblGrid>
        <w:gridCol w:w="3312"/>
        <w:gridCol w:w="3312"/>
        <w:gridCol w:w="3312"/>
      </w:tblGrid>
      <w:tr>
        <w:tc>
          <w:tcPr>
            <w:tcW w:type="dxa" w:w="3312"/>
            <w:shd w:fill="EDEDED"/>
          </w:tcPr>
          <w:p>
            <w:r>
              <w:rPr>
                <w:b/>
              </w:rPr>
              <w:t>Issue</w:t>
            </w:r>
          </w:p>
        </w:tc>
        <w:tc>
          <w:tcPr>
            <w:tcW w:type="dxa" w:w="3312"/>
            <w:shd w:fill="EDEDED"/>
          </w:tcPr>
          <w:p>
            <w:r>
              <w:rPr>
                <w:b/>
              </w:rPr>
              <w:t>Possible cause</w:t>
            </w:r>
          </w:p>
        </w:tc>
        <w:tc>
          <w:tcPr>
            <w:tcW w:type="dxa" w:w="3312"/>
            <w:shd w:fill="EDEDED"/>
          </w:tcPr>
          <w:p>
            <w:r>
              <w:rPr>
                <w:b/>
              </w:rPr>
              <w:t>Recommended action</w:t>
            </w:r>
          </w:p>
        </w:tc>
      </w:tr>
      <w:tr>
        <w:tc>
          <w:tcPr>
            <w:tcW w:type="dxa" w:w="3312"/>
          </w:tcPr>
          <w:p>
            <w:r>
              <w:t>Keyboard focus is not visible</w:t>
            </w:r>
          </w:p>
        </w:tc>
        <w:tc>
          <w:tcPr>
            <w:tcW w:type="dxa" w:w="3312"/>
          </w:tcPr>
          <w:p>
            <w:r>
              <w:t>Focus styling may be missing or obscured</w:t>
            </w:r>
          </w:p>
        </w:tc>
        <w:tc>
          <w:tcPr>
            <w:tcW w:type="dxa" w:w="3312"/>
          </w:tcPr>
          <w:p>
            <w:r>
              <w:t>Confirm the browser window is active and report the interface behavior if no focus indicator appears.</w:t>
            </w:r>
          </w:p>
        </w:tc>
      </w:tr>
      <w:tr>
        <w:tc>
          <w:tcPr>
            <w:tcW w:type="dxa" w:w="3312"/>
          </w:tcPr>
          <w:p>
            <w:r>
              <w:t>Tab key cannot leave a dialog</w:t>
            </w:r>
          </w:p>
        </w:tc>
        <w:tc>
          <w:tcPr>
            <w:tcW w:type="dxa" w:w="3312"/>
          </w:tcPr>
          <w:p>
            <w:r>
              <w:t>Possible keyboard trap</w:t>
            </w:r>
          </w:p>
        </w:tc>
        <w:tc>
          <w:tcPr>
            <w:tcW w:type="dxa" w:w="3312"/>
          </w:tcPr>
          <w:p>
            <w:r>
              <w:t>Try the documented exit key if one exists. If focus remains trapped, report the issue.</w:t>
            </w:r>
          </w:p>
        </w:tc>
      </w:tr>
      <w:tr>
        <w:tc>
          <w:tcPr>
            <w:tcW w:type="dxa" w:w="3312"/>
          </w:tcPr>
          <w:p>
            <w:r>
              <w:t>An image has no useful description</w:t>
            </w:r>
          </w:p>
        </w:tc>
        <w:tc>
          <w:tcPr>
            <w:tcW w:type="dxa" w:w="3312"/>
          </w:tcPr>
          <w:p>
            <w:r>
              <w:t>Missing or inadequate text alternative</w:t>
            </w:r>
          </w:p>
        </w:tc>
        <w:tc>
          <w:tcPr>
            <w:tcW w:type="dxa" w:w="3312"/>
          </w:tcPr>
          <w:p>
            <w:r>
              <w:t>Use the surrounding context to determine the image’s purpose and provide an equivalent description.</w:t>
            </w:r>
          </w:p>
        </w:tc>
      </w:tr>
      <w:tr>
        <w:tc>
          <w:tcPr>
            <w:tcW w:type="dxa" w:w="3312"/>
          </w:tcPr>
          <w:p>
            <w:r>
              <w:t>Error is shown only by color</w:t>
            </w:r>
          </w:p>
        </w:tc>
        <w:tc>
          <w:tcPr>
            <w:tcW w:type="dxa" w:w="3312"/>
          </w:tcPr>
          <w:p>
            <w:r>
              <w:t>Information is not available in text</w:t>
            </w:r>
          </w:p>
        </w:tc>
        <w:tc>
          <w:tcPr>
            <w:tcW w:type="dxa" w:w="3312"/>
          </w:tcPr>
          <w:p>
            <w:r>
              <w:t>Read the accompanying message or report the issue if no textual error is provided.</w:t>
            </w:r>
          </w:p>
        </w:tc>
      </w:tr>
    </w:tbl>
    <w:p>
      <w:pPr>
        <w:pStyle w:val="Heading1"/>
      </w:pPr>
      <w:r>
        <w:t>10. Documentation Quality Checklist</w:t>
      </w:r>
    </w:p>
    <w:p>
      <w:r>
        <w:t>☐ Are headings descriptive and logically ordered?</w:t>
      </w:r>
    </w:p>
    <w:p>
      <w:r>
        <w:t>☐ Can every documented action be completed without a mouse?</w:t>
      </w:r>
    </w:p>
    <w:p>
      <w:r>
        <w:t>☐ Does the documentation avoid relying on color, shape, or position alone?</w:t>
      </w:r>
    </w:p>
    <w:p>
      <w:r>
        <w:t>☐ Are keyboard actions stated explicitly?</w:t>
      </w:r>
    </w:p>
    <w:p>
      <w:r>
        <w:t>☐ Do images that convey useful information have meaningful alternatives?</w:t>
      </w:r>
    </w:p>
    <w:p>
      <w:r>
        <w:t>☐ Are form fields and error messages described clearly?</w:t>
      </w:r>
    </w:p>
    <w:p>
      <w:r>
        <w:t>☐ Are links described by purpose rather than vague text such as “click here”?</w:t>
      </w:r>
    </w:p>
    <w:p>
      <w:r>
        <w:t>☐ Are tables simple, labeled, and used only when comparison is useful?</w:t>
      </w:r>
    </w:p>
    <w:p>
      <w:r>
        <w:t>☐ Is the language concise and understandable for the intended audience?</w:t>
      </w:r>
    </w:p>
    <w:p>
      <w:pPr>
        <w:pStyle w:val="Heading1"/>
      </w:pPr>
      <w:r>
        <w:t>11. Portfolio Notes</w:t>
      </w:r>
    </w:p>
    <w:p>
      <w:r>
        <w:t>This is a fictional product and documentation sample created to demonstrate technical writing, information architecture, accessibility-conscious communication, and user-centered documentation.</w:t>
      </w:r>
    </w:p>
    <w:p>
      <w:r>
        <w:t>Accessibility references were checked against WCAG 2.2 from the World Wide Web Consortium (W3C). This sample does not claim that the fictional QuickTrack product conforms to WCAG; it demonstrates how a technical writer might incorporate accessibility considerations into user-facing documentation.</w:t>
      </w:r>
    </w:p>
    <w:sectPr w:rsidR="00FC693F" w:rsidRPr="0006063C" w:rsidSect="00034616">
      <w:footerReference w:type="default" r:id="rId9"/>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QuickTrack • Accessibility-Focused User Guide • Portfolio Sample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themeColor="text2" w:themeShade="BF"/>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